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75" w:rsidRPr="001541DD" w:rsidRDefault="00841A75" w:rsidP="00841A75">
      <w:pPr>
        <w:pStyle w:val="En-tte"/>
        <w:tabs>
          <w:tab w:val="left" w:pos="1134"/>
        </w:tabs>
        <w:spacing w:line="276" w:lineRule="auto"/>
        <w:jc w:val="center"/>
        <w:rPr>
          <w:rFonts w:ascii="Century Gothic" w:hAnsi="Century Gothic"/>
          <w:sz w:val="32"/>
          <w:szCs w:val="32"/>
        </w:rPr>
      </w:pPr>
      <w:r w:rsidRPr="001541DD">
        <w:rPr>
          <w:rFonts w:ascii="Century Gothic" w:hAnsi="Century Gothic"/>
        </w:rPr>
        <w:tab/>
      </w:r>
      <w:r w:rsidR="00962B6D" w:rsidRPr="001541DD">
        <w:rPr>
          <w:rFonts w:ascii="Century Gothic" w:hAnsi="Century Gothic"/>
          <w:sz w:val="32"/>
          <w:szCs w:val="32"/>
        </w:rPr>
        <w:t>Désignation d</w:t>
      </w:r>
      <w:r w:rsidR="001541DD" w:rsidRPr="001541DD">
        <w:rPr>
          <w:rFonts w:ascii="Century Gothic" w:hAnsi="Century Gothic"/>
          <w:sz w:val="32"/>
          <w:szCs w:val="32"/>
        </w:rPr>
        <w:t>’un</w:t>
      </w:r>
      <w:r w:rsidR="00962B6D" w:rsidRPr="001541DD">
        <w:rPr>
          <w:rFonts w:ascii="Century Gothic" w:hAnsi="Century Gothic"/>
          <w:sz w:val="32"/>
          <w:szCs w:val="32"/>
        </w:rPr>
        <w:t xml:space="preserve"> Gestionnaire loca</w:t>
      </w:r>
      <w:r w:rsidR="001541DD" w:rsidRPr="001541DD">
        <w:rPr>
          <w:rFonts w:ascii="Century Gothic" w:hAnsi="Century Gothic"/>
          <w:sz w:val="32"/>
          <w:szCs w:val="32"/>
        </w:rPr>
        <w:t>l</w:t>
      </w:r>
      <w:r w:rsidR="00962B6D" w:rsidRPr="001541DD">
        <w:rPr>
          <w:rFonts w:ascii="Century Gothic" w:hAnsi="Century Gothic"/>
          <w:sz w:val="32"/>
          <w:szCs w:val="32"/>
        </w:rPr>
        <w:t xml:space="preserve"> de sécurité</w:t>
      </w:r>
    </w:p>
    <w:p w:rsidR="00962B6D" w:rsidRPr="001541DD" w:rsidRDefault="00962B6D" w:rsidP="00841A75">
      <w:pPr>
        <w:pStyle w:val="En-tte"/>
        <w:tabs>
          <w:tab w:val="left" w:pos="1134"/>
        </w:tabs>
        <w:spacing w:line="276" w:lineRule="auto"/>
        <w:jc w:val="center"/>
        <w:rPr>
          <w:rFonts w:ascii="Century Gothic" w:hAnsi="Century Gothic"/>
          <w:sz w:val="32"/>
          <w:szCs w:val="32"/>
        </w:rPr>
      </w:pPr>
      <w:r w:rsidRPr="001541DD">
        <w:rPr>
          <w:rFonts w:ascii="Century Gothic" w:hAnsi="Century Gothic"/>
          <w:sz w:val="32"/>
          <w:szCs w:val="32"/>
        </w:rPr>
        <w:t>Guichet des pouvoirs locaux</w:t>
      </w:r>
    </w:p>
    <w:p w:rsidR="00841A75" w:rsidRPr="001541DD" w:rsidRDefault="00841A75" w:rsidP="00841A75">
      <w:pPr>
        <w:pStyle w:val="En-tte"/>
        <w:tabs>
          <w:tab w:val="left" w:pos="1134"/>
        </w:tabs>
        <w:spacing w:line="276" w:lineRule="auto"/>
        <w:jc w:val="center"/>
        <w:rPr>
          <w:rFonts w:ascii="Century Gothic" w:hAnsi="Century Gothic"/>
          <w:b/>
          <w:sz w:val="36"/>
        </w:rPr>
      </w:pPr>
    </w:p>
    <w:p w:rsidR="00841A75" w:rsidRPr="001541DD" w:rsidRDefault="00E872DF" w:rsidP="00E872DF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Dans le cadre de ses missions, l</w:t>
      </w:r>
      <w:r w:rsidR="00962B6D" w:rsidRPr="001541DD">
        <w:rPr>
          <w:rFonts w:ascii="Century Gothic" w:hAnsi="Century Gothic"/>
          <w:sz w:val="20"/>
        </w:rPr>
        <w:t xml:space="preserve">e SPW Intérieur </w:t>
      </w:r>
      <w:r w:rsidRPr="001541DD">
        <w:rPr>
          <w:rFonts w:ascii="Century Gothic" w:hAnsi="Century Gothic"/>
          <w:sz w:val="20"/>
        </w:rPr>
        <w:t xml:space="preserve">met à disposition des pouvoirs locaux un Guichet des pouvoirs locaux dont l’objectif et de simplifier via la dématérialisation ses interactions avec ses usagers. </w:t>
      </w:r>
      <w:r w:rsidR="004652C3" w:rsidRPr="001541DD">
        <w:rPr>
          <w:rFonts w:ascii="Century Gothic" w:hAnsi="Century Gothic"/>
          <w:sz w:val="20"/>
        </w:rPr>
        <w:t>Pour des raisons de sécurité et de confidentialité, la transmission électronique des dossiers des pouvoirs locaux est encadrée par un système d’authentification.</w:t>
      </w:r>
    </w:p>
    <w:p w:rsidR="00841A75" w:rsidRPr="001541DD" w:rsidRDefault="00841A75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 xml:space="preserve"> </w:t>
      </w:r>
    </w:p>
    <w:p w:rsidR="003A2F39" w:rsidRPr="001541DD" w:rsidRDefault="00841A75" w:rsidP="003A2F39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 xml:space="preserve">Dans ce </w:t>
      </w:r>
      <w:r w:rsidR="004652C3" w:rsidRPr="001541DD">
        <w:rPr>
          <w:rFonts w:ascii="Century Gothic" w:hAnsi="Century Gothic"/>
          <w:sz w:val="20"/>
        </w:rPr>
        <w:t>contexte</w:t>
      </w:r>
      <w:r w:rsidRPr="001541DD">
        <w:rPr>
          <w:rFonts w:ascii="Century Gothic" w:hAnsi="Century Gothic"/>
          <w:sz w:val="20"/>
        </w:rPr>
        <w:t xml:space="preserve">, </w:t>
      </w:r>
      <w:r w:rsidR="001541DD" w:rsidRPr="001541DD">
        <w:rPr>
          <w:rFonts w:ascii="Century Gothic" w:hAnsi="Century Gothic"/>
          <w:sz w:val="20"/>
        </w:rPr>
        <w:t>un</w:t>
      </w:r>
      <w:r w:rsidR="004652C3" w:rsidRPr="001541DD">
        <w:rPr>
          <w:rFonts w:ascii="Century Gothic" w:hAnsi="Century Gothic"/>
          <w:sz w:val="20"/>
        </w:rPr>
        <w:t xml:space="preserve"> </w:t>
      </w:r>
      <w:r w:rsidR="0094278C" w:rsidRPr="001541DD">
        <w:rPr>
          <w:rFonts w:ascii="Century Gothic" w:hAnsi="Century Gothic"/>
          <w:sz w:val="20"/>
        </w:rPr>
        <w:t xml:space="preserve">GLS – </w:t>
      </w:r>
      <w:r w:rsidR="004652C3" w:rsidRPr="001541DD">
        <w:rPr>
          <w:rFonts w:ascii="Century Gothic" w:hAnsi="Century Gothic"/>
          <w:sz w:val="20"/>
        </w:rPr>
        <w:t>Gestionnaire loca</w:t>
      </w:r>
      <w:r w:rsidR="001541DD" w:rsidRPr="001541DD">
        <w:rPr>
          <w:rFonts w:ascii="Century Gothic" w:hAnsi="Century Gothic"/>
          <w:sz w:val="20"/>
        </w:rPr>
        <w:t>l</w:t>
      </w:r>
      <w:r w:rsidR="004652C3" w:rsidRPr="001541DD">
        <w:rPr>
          <w:rFonts w:ascii="Century Gothic" w:hAnsi="Century Gothic"/>
          <w:sz w:val="20"/>
        </w:rPr>
        <w:t xml:space="preserve"> de sécurité doi</w:t>
      </w:r>
      <w:r w:rsidR="001541DD" w:rsidRPr="001541DD">
        <w:rPr>
          <w:rFonts w:ascii="Century Gothic" w:hAnsi="Century Gothic"/>
          <w:sz w:val="20"/>
        </w:rPr>
        <w:t>t</w:t>
      </w:r>
      <w:r w:rsidR="004652C3" w:rsidRPr="001541DD">
        <w:rPr>
          <w:rFonts w:ascii="Century Gothic" w:hAnsi="Century Gothic"/>
          <w:sz w:val="20"/>
        </w:rPr>
        <w:t xml:space="preserve"> être désigné par pouvoir local.</w:t>
      </w:r>
      <w:r w:rsidR="001541DD" w:rsidRPr="001541DD">
        <w:rPr>
          <w:rFonts w:ascii="Century Gothic" w:hAnsi="Century Gothic"/>
          <w:sz w:val="20"/>
        </w:rPr>
        <w:t xml:space="preserve"> Nous vous incitons à nommer un GLS suppléant afin d’assurer une permanence au sein de votre entité.</w:t>
      </w:r>
    </w:p>
    <w:p w:rsidR="003A2F39" w:rsidRPr="001541DD" w:rsidRDefault="003A2F39" w:rsidP="00841A75">
      <w:pPr>
        <w:pStyle w:val="Default"/>
        <w:ind w:left="1418" w:right="962"/>
        <w:jc w:val="both"/>
        <w:rPr>
          <w:rFonts w:ascii="Century Gothic" w:hAnsi="Century Gothic"/>
          <w:b/>
          <w:sz w:val="20"/>
          <w:u w:val="single"/>
        </w:rPr>
      </w:pPr>
    </w:p>
    <w:p w:rsidR="004652C3" w:rsidRDefault="004652C3" w:rsidP="00841A75">
      <w:pPr>
        <w:pStyle w:val="Default"/>
        <w:ind w:left="1418" w:right="962"/>
        <w:jc w:val="both"/>
        <w:rPr>
          <w:rFonts w:ascii="Century Gothic" w:hAnsi="Century Gothic"/>
          <w:sz w:val="20"/>
          <w:u w:val="single"/>
        </w:rPr>
      </w:pPr>
      <w:r w:rsidRPr="00602AAB">
        <w:rPr>
          <w:rFonts w:ascii="Century Gothic" w:hAnsi="Century Gothic"/>
          <w:sz w:val="20"/>
          <w:u w:val="single"/>
        </w:rPr>
        <w:t>Leurs rôles</w:t>
      </w:r>
      <w:r w:rsidR="00602AAB">
        <w:rPr>
          <w:rFonts w:ascii="Century Gothic" w:hAnsi="Century Gothic"/>
          <w:sz w:val="20"/>
          <w:u w:val="single"/>
        </w:rPr>
        <w:t> :</w:t>
      </w:r>
    </w:p>
    <w:p w:rsidR="00602AAB" w:rsidRPr="00602AAB" w:rsidRDefault="00602AAB" w:rsidP="00841A75">
      <w:pPr>
        <w:pStyle w:val="Default"/>
        <w:ind w:left="1418" w:right="962"/>
        <w:jc w:val="both"/>
        <w:rPr>
          <w:rFonts w:ascii="Century Gothic" w:hAnsi="Century Gothic"/>
          <w:sz w:val="20"/>
          <w:u w:val="single"/>
        </w:rPr>
      </w:pPr>
    </w:p>
    <w:p w:rsidR="004652C3" w:rsidRPr="001541DD" w:rsidRDefault="004652C3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Leurs rôles principaux sont de :</w:t>
      </w:r>
    </w:p>
    <w:p w:rsidR="004652C3" w:rsidRPr="001541DD" w:rsidRDefault="001541DD" w:rsidP="004652C3">
      <w:pPr>
        <w:pStyle w:val="Default"/>
        <w:numPr>
          <w:ilvl w:val="0"/>
          <w:numId w:val="3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Gérer</w:t>
      </w:r>
      <w:r w:rsidR="004652C3" w:rsidRPr="001541DD">
        <w:rPr>
          <w:rFonts w:ascii="Century Gothic" w:hAnsi="Century Gothic"/>
          <w:sz w:val="20"/>
        </w:rPr>
        <w:t xml:space="preserve"> les accès des utilisateurs à l’espace dédié à leur pouvoir local dans le Guichet des pouvoirs locaux</w:t>
      </w:r>
      <w:r w:rsidR="000C7DA1" w:rsidRPr="001541DD">
        <w:rPr>
          <w:rFonts w:ascii="Century Gothic" w:hAnsi="Century Gothic"/>
          <w:sz w:val="20"/>
        </w:rPr>
        <w:t> ;</w:t>
      </w:r>
    </w:p>
    <w:p w:rsidR="004652C3" w:rsidRPr="001541DD" w:rsidRDefault="001541DD" w:rsidP="004652C3">
      <w:pPr>
        <w:pStyle w:val="Default"/>
        <w:numPr>
          <w:ilvl w:val="0"/>
          <w:numId w:val="3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Accorder</w:t>
      </w:r>
      <w:r w:rsidR="004652C3" w:rsidRPr="001541DD">
        <w:rPr>
          <w:rFonts w:ascii="Century Gothic" w:hAnsi="Century Gothic"/>
          <w:sz w:val="20"/>
        </w:rPr>
        <w:t xml:space="preserve"> des rôles (</w:t>
      </w:r>
      <w:r w:rsidR="000C7DA1" w:rsidRPr="001541DD">
        <w:rPr>
          <w:rFonts w:ascii="Century Gothic" w:hAnsi="Century Gothic"/>
          <w:sz w:val="20"/>
        </w:rPr>
        <w:t xml:space="preserve">lecteur, </w:t>
      </w:r>
      <w:r w:rsidR="004652C3" w:rsidRPr="001541DD">
        <w:rPr>
          <w:rFonts w:ascii="Century Gothic" w:hAnsi="Century Gothic"/>
          <w:sz w:val="20"/>
        </w:rPr>
        <w:t>éditeur, validateur</w:t>
      </w:r>
      <w:r w:rsidR="000C7DA1" w:rsidRPr="001541DD">
        <w:rPr>
          <w:rFonts w:ascii="Century Gothic" w:hAnsi="Century Gothic"/>
          <w:sz w:val="20"/>
        </w:rPr>
        <w:t xml:space="preserve"> et soumissionnaire) et des droits (en fonction des matières &amp; catégories proposées) aux utilisateurs ayant des accès au Guichet des pouvoirs locaux</w:t>
      </w:r>
      <w:r w:rsidR="0094278C" w:rsidRPr="001541DD">
        <w:rPr>
          <w:rFonts w:ascii="Century Gothic" w:hAnsi="Century Gothic"/>
          <w:sz w:val="20"/>
        </w:rPr>
        <w:t> ;</w:t>
      </w:r>
    </w:p>
    <w:p w:rsidR="0094278C" w:rsidRPr="001541DD" w:rsidRDefault="001541DD" w:rsidP="004652C3">
      <w:pPr>
        <w:pStyle w:val="Default"/>
        <w:numPr>
          <w:ilvl w:val="0"/>
          <w:numId w:val="3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Aider</w:t>
      </w:r>
      <w:r w:rsidR="0094278C" w:rsidRPr="001541DD">
        <w:rPr>
          <w:rFonts w:ascii="Century Gothic" w:hAnsi="Century Gothic"/>
          <w:sz w:val="20"/>
        </w:rPr>
        <w:t xml:space="preserve"> les utilisateurs de son pouvoir local à se créer un compte et/ou un profil.</w:t>
      </w:r>
    </w:p>
    <w:p w:rsidR="000C7DA1" w:rsidRPr="001541DD" w:rsidRDefault="000C7DA1" w:rsidP="000C7DA1">
      <w:pPr>
        <w:pStyle w:val="Default"/>
        <w:ind w:right="962"/>
        <w:jc w:val="both"/>
        <w:rPr>
          <w:rFonts w:ascii="Century Gothic" w:hAnsi="Century Gothic"/>
          <w:b/>
          <w:sz w:val="20"/>
          <w:u w:val="single"/>
        </w:rPr>
      </w:pPr>
    </w:p>
    <w:p w:rsidR="004652C3" w:rsidRDefault="000C7DA1" w:rsidP="00841A75">
      <w:pPr>
        <w:pStyle w:val="Default"/>
        <w:ind w:left="1418" w:right="962"/>
        <w:jc w:val="both"/>
        <w:rPr>
          <w:rFonts w:ascii="Century Gothic" w:hAnsi="Century Gothic"/>
          <w:sz w:val="20"/>
          <w:u w:val="single"/>
        </w:rPr>
      </w:pPr>
      <w:r w:rsidRPr="00602AAB">
        <w:rPr>
          <w:rFonts w:ascii="Century Gothic" w:hAnsi="Century Gothic"/>
          <w:sz w:val="20"/>
          <w:u w:val="single"/>
        </w:rPr>
        <w:t>Leurs devoirs</w:t>
      </w:r>
      <w:r w:rsidR="00602AAB">
        <w:rPr>
          <w:rFonts w:ascii="Century Gothic" w:hAnsi="Century Gothic"/>
          <w:sz w:val="20"/>
          <w:u w:val="single"/>
        </w:rPr>
        <w:t> :</w:t>
      </w:r>
    </w:p>
    <w:p w:rsidR="00602AAB" w:rsidRPr="00602AAB" w:rsidRDefault="00602AAB" w:rsidP="00841A75">
      <w:pPr>
        <w:pStyle w:val="Default"/>
        <w:ind w:left="1418" w:right="962"/>
        <w:jc w:val="both"/>
        <w:rPr>
          <w:rFonts w:ascii="Century Gothic" w:hAnsi="Century Gothic"/>
          <w:sz w:val="20"/>
          <w:u w:val="single"/>
        </w:rPr>
      </w:pPr>
    </w:p>
    <w:p w:rsidR="000C7DA1" w:rsidRPr="001541DD" w:rsidRDefault="000C7DA1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Les Gestionnaires locaux de sécurité s’engagent à :</w:t>
      </w:r>
    </w:p>
    <w:p w:rsidR="000C7DA1" w:rsidRPr="001541DD" w:rsidRDefault="001541DD" w:rsidP="000C7DA1">
      <w:pPr>
        <w:pStyle w:val="Default"/>
        <w:numPr>
          <w:ilvl w:val="0"/>
          <w:numId w:val="5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Maintenir</w:t>
      </w:r>
      <w:r w:rsidR="000C7DA1" w:rsidRPr="001541DD">
        <w:rPr>
          <w:rFonts w:ascii="Century Gothic" w:hAnsi="Century Gothic"/>
          <w:sz w:val="20"/>
        </w:rPr>
        <w:t xml:space="preserve"> à jour la liste des personnes ayant accès au Guichet des pouvoirs locaux (départ d’une personne, nouvel arrivant, …)</w:t>
      </w:r>
      <w:r w:rsidR="0094278C" w:rsidRPr="001541DD">
        <w:rPr>
          <w:rFonts w:ascii="Century Gothic" w:hAnsi="Century Gothic"/>
          <w:sz w:val="20"/>
        </w:rPr>
        <w:t xml:space="preserve"> pour son pouvoir local</w:t>
      </w:r>
      <w:r w:rsidRPr="001541DD">
        <w:rPr>
          <w:rFonts w:ascii="Century Gothic" w:hAnsi="Century Gothic"/>
          <w:sz w:val="20"/>
        </w:rPr>
        <w:t> ;</w:t>
      </w:r>
    </w:p>
    <w:p w:rsidR="000C7DA1" w:rsidRPr="001541DD" w:rsidRDefault="001541DD" w:rsidP="000C7DA1">
      <w:pPr>
        <w:pStyle w:val="Default"/>
        <w:numPr>
          <w:ilvl w:val="0"/>
          <w:numId w:val="5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Maintenir</w:t>
      </w:r>
      <w:r w:rsidR="000C7DA1" w:rsidRPr="001541DD">
        <w:rPr>
          <w:rFonts w:ascii="Century Gothic" w:hAnsi="Century Gothic"/>
          <w:sz w:val="20"/>
        </w:rPr>
        <w:t xml:space="preserve"> à jour les rôles et droits des utilisateurs ayant des accès</w:t>
      </w:r>
      <w:r w:rsidRPr="001541DD">
        <w:rPr>
          <w:rFonts w:ascii="Century Gothic" w:hAnsi="Century Gothic"/>
          <w:sz w:val="20"/>
        </w:rPr>
        <w:t> ;</w:t>
      </w:r>
    </w:p>
    <w:p w:rsidR="000C7DA1" w:rsidRPr="001541DD" w:rsidRDefault="001541DD" w:rsidP="000C7DA1">
      <w:pPr>
        <w:pStyle w:val="Default"/>
        <w:numPr>
          <w:ilvl w:val="0"/>
          <w:numId w:val="5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User</w:t>
      </w:r>
      <w:r w:rsidR="000C7DA1" w:rsidRPr="001541DD">
        <w:rPr>
          <w:rFonts w:ascii="Century Gothic" w:hAnsi="Century Gothic"/>
          <w:sz w:val="20"/>
        </w:rPr>
        <w:t xml:space="preserve"> de ses droits dans l’application sans abus</w:t>
      </w:r>
      <w:r w:rsidRPr="001541DD">
        <w:rPr>
          <w:rFonts w:ascii="Century Gothic" w:hAnsi="Century Gothic"/>
          <w:sz w:val="20"/>
        </w:rPr>
        <w:t>.</w:t>
      </w:r>
    </w:p>
    <w:p w:rsidR="000C7DA1" w:rsidRPr="001541DD" w:rsidRDefault="000C7DA1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</w:p>
    <w:p w:rsidR="003A2F39" w:rsidRDefault="003A2F39" w:rsidP="00841A75">
      <w:pPr>
        <w:pStyle w:val="Default"/>
        <w:ind w:left="1418" w:right="962"/>
        <w:jc w:val="both"/>
        <w:rPr>
          <w:rFonts w:ascii="Century Gothic" w:hAnsi="Century Gothic"/>
          <w:sz w:val="20"/>
          <w:u w:val="single"/>
        </w:rPr>
      </w:pPr>
      <w:r w:rsidRPr="00602AAB">
        <w:rPr>
          <w:rFonts w:ascii="Century Gothic" w:hAnsi="Century Gothic"/>
          <w:sz w:val="20"/>
          <w:u w:val="single"/>
        </w:rPr>
        <w:t>Leurs accès</w:t>
      </w:r>
      <w:r w:rsidR="00602AAB">
        <w:rPr>
          <w:rFonts w:ascii="Century Gothic" w:hAnsi="Century Gothic"/>
          <w:sz w:val="20"/>
          <w:u w:val="single"/>
        </w:rPr>
        <w:t> :</w:t>
      </w:r>
    </w:p>
    <w:p w:rsidR="00602AAB" w:rsidRPr="00602AAB" w:rsidRDefault="00602AAB" w:rsidP="00841A75">
      <w:pPr>
        <w:pStyle w:val="Default"/>
        <w:ind w:left="1418" w:right="962"/>
        <w:jc w:val="both"/>
        <w:rPr>
          <w:rFonts w:ascii="Century Gothic" w:hAnsi="Century Gothic"/>
          <w:sz w:val="20"/>
          <w:u w:val="single"/>
        </w:rPr>
      </w:pPr>
    </w:p>
    <w:p w:rsidR="003A2F39" w:rsidRPr="001541DD" w:rsidRDefault="003A2F39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Découlant directement de leurs rôles</w:t>
      </w:r>
      <w:r w:rsidR="001C6A28" w:rsidRPr="001541DD">
        <w:rPr>
          <w:rFonts w:ascii="Century Gothic" w:hAnsi="Century Gothic"/>
          <w:sz w:val="20"/>
        </w:rPr>
        <w:t xml:space="preserve"> de GLS</w:t>
      </w:r>
      <w:r w:rsidRPr="001541DD">
        <w:rPr>
          <w:rFonts w:ascii="Century Gothic" w:hAnsi="Century Gothic"/>
          <w:sz w:val="20"/>
        </w:rPr>
        <w:t xml:space="preserve"> et en fonction </w:t>
      </w:r>
      <w:r w:rsidR="001C6A28" w:rsidRPr="001541DD">
        <w:rPr>
          <w:rFonts w:ascii="Century Gothic" w:hAnsi="Century Gothic"/>
          <w:sz w:val="20"/>
        </w:rPr>
        <w:t>des</w:t>
      </w:r>
      <w:r w:rsidRPr="001541DD">
        <w:rPr>
          <w:rFonts w:ascii="Century Gothic" w:hAnsi="Century Gothic"/>
          <w:sz w:val="20"/>
        </w:rPr>
        <w:t xml:space="preserve"> droits</w:t>
      </w:r>
      <w:r w:rsidR="001C6A28" w:rsidRPr="001541DD">
        <w:rPr>
          <w:rFonts w:ascii="Century Gothic" w:hAnsi="Century Gothic"/>
          <w:sz w:val="20"/>
        </w:rPr>
        <w:t xml:space="preserve"> qu’ils vont s’accorder à eux-mêmes</w:t>
      </w:r>
      <w:r w:rsidRPr="001541DD">
        <w:rPr>
          <w:rFonts w:ascii="Century Gothic" w:hAnsi="Century Gothic"/>
          <w:sz w:val="20"/>
        </w:rPr>
        <w:t>, les GLS ont la possibilité d’avoir accès à tous les dossiers</w:t>
      </w:r>
      <w:r w:rsidR="001C6A28" w:rsidRPr="001541DD">
        <w:rPr>
          <w:rFonts w:ascii="Century Gothic" w:hAnsi="Century Gothic"/>
          <w:sz w:val="20"/>
        </w:rPr>
        <w:t>.</w:t>
      </w:r>
    </w:p>
    <w:p w:rsidR="001C6A28" w:rsidRPr="001541DD" w:rsidRDefault="001C6A28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Au vu de cette capacité, il est primordial de nommer une personne de confiance comme GLS de votre pouvoir local.</w:t>
      </w:r>
    </w:p>
    <w:p w:rsidR="003A2F39" w:rsidRPr="001541DD" w:rsidRDefault="003A2F39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</w:p>
    <w:p w:rsidR="004652C3" w:rsidRPr="001541DD" w:rsidRDefault="0094278C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Pour sa part</w:t>
      </w:r>
      <w:r w:rsidR="000C7DA1" w:rsidRPr="001541DD">
        <w:rPr>
          <w:rFonts w:ascii="Century Gothic" w:hAnsi="Century Gothic"/>
          <w:sz w:val="20"/>
        </w:rPr>
        <w:t xml:space="preserve">, </w:t>
      </w:r>
      <w:r w:rsidR="000C7DA1" w:rsidRPr="001541DD">
        <w:rPr>
          <w:rFonts w:ascii="Century Gothic" w:hAnsi="Century Gothic"/>
          <w:b/>
          <w:sz w:val="20"/>
        </w:rPr>
        <w:t>le SPW Intérieur</w:t>
      </w:r>
      <w:r w:rsidR="000C7DA1" w:rsidRPr="001541DD">
        <w:rPr>
          <w:rFonts w:ascii="Century Gothic" w:hAnsi="Century Gothic"/>
          <w:sz w:val="20"/>
        </w:rPr>
        <w:t xml:space="preserve"> s’engage à :</w:t>
      </w:r>
    </w:p>
    <w:p w:rsidR="00841A75" w:rsidRPr="001541DD" w:rsidRDefault="001541DD" w:rsidP="000C7DA1">
      <w:pPr>
        <w:pStyle w:val="Default"/>
        <w:numPr>
          <w:ilvl w:val="0"/>
          <w:numId w:val="6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Répondre</w:t>
      </w:r>
      <w:r w:rsidR="000C7DA1" w:rsidRPr="001541DD">
        <w:rPr>
          <w:rFonts w:ascii="Century Gothic" w:hAnsi="Century Gothic"/>
          <w:sz w:val="20"/>
        </w:rPr>
        <w:t xml:space="preserve"> à t</w:t>
      </w:r>
      <w:r w:rsidR="00841A75" w:rsidRPr="001541DD">
        <w:rPr>
          <w:rFonts w:ascii="Century Gothic" w:hAnsi="Century Gothic"/>
          <w:sz w:val="20"/>
        </w:rPr>
        <w:t xml:space="preserve">outes vos questions, requêtes et réclamations </w:t>
      </w:r>
      <w:r w:rsidR="000C7DA1" w:rsidRPr="001541DD">
        <w:rPr>
          <w:rFonts w:ascii="Century Gothic" w:hAnsi="Century Gothic"/>
          <w:sz w:val="20"/>
        </w:rPr>
        <w:t xml:space="preserve">de manière </w:t>
      </w:r>
      <w:r w:rsidR="00841A75" w:rsidRPr="001541DD">
        <w:rPr>
          <w:rFonts w:ascii="Century Gothic" w:hAnsi="Century Gothic"/>
          <w:sz w:val="20"/>
        </w:rPr>
        <w:t>rapide et efficace</w:t>
      </w:r>
      <w:r w:rsidR="000C7DA1" w:rsidRPr="001541DD">
        <w:rPr>
          <w:rFonts w:ascii="Century Gothic" w:hAnsi="Century Gothic"/>
          <w:sz w:val="20"/>
        </w:rPr>
        <w:t> ;</w:t>
      </w:r>
    </w:p>
    <w:p w:rsidR="00841A75" w:rsidRPr="001541DD" w:rsidRDefault="001541DD" w:rsidP="003827A3">
      <w:pPr>
        <w:pStyle w:val="Default"/>
        <w:numPr>
          <w:ilvl w:val="0"/>
          <w:numId w:val="6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Assurer</w:t>
      </w:r>
      <w:r w:rsidR="000C7DA1" w:rsidRPr="001541DD">
        <w:rPr>
          <w:rFonts w:ascii="Century Gothic" w:hAnsi="Century Gothic"/>
          <w:sz w:val="20"/>
        </w:rPr>
        <w:t xml:space="preserve"> une assistance conviviale et personnalisée</w:t>
      </w:r>
      <w:r w:rsidR="003827A3" w:rsidRPr="001541DD">
        <w:rPr>
          <w:rFonts w:ascii="Century Gothic" w:hAnsi="Century Gothic"/>
          <w:sz w:val="20"/>
        </w:rPr>
        <w:t xml:space="preserve"> </w:t>
      </w:r>
      <w:r w:rsidR="00841A75" w:rsidRPr="001541DD">
        <w:rPr>
          <w:rFonts w:ascii="Century Gothic" w:hAnsi="Century Gothic"/>
          <w:sz w:val="20"/>
        </w:rPr>
        <w:t>aux heures de bureau par téléphone, courrier électronique, internet ou dans ses locaux</w:t>
      </w:r>
      <w:r w:rsidR="003827A3" w:rsidRPr="001541DD">
        <w:rPr>
          <w:rFonts w:ascii="Century Gothic" w:hAnsi="Century Gothic"/>
          <w:sz w:val="20"/>
        </w:rPr>
        <w:t> ;</w:t>
      </w:r>
      <w:r w:rsidR="00841A75" w:rsidRPr="001541DD">
        <w:rPr>
          <w:rFonts w:ascii="Century Gothic" w:hAnsi="Century Gothic"/>
          <w:sz w:val="20"/>
        </w:rPr>
        <w:t xml:space="preserve"> </w:t>
      </w:r>
    </w:p>
    <w:p w:rsidR="00841A75" w:rsidRPr="001541DD" w:rsidRDefault="001541DD" w:rsidP="003827A3">
      <w:pPr>
        <w:pStyle w:val="Default"/>
        <w:numPr>
          <w:ilvl w:val="0"/>
          <w:numId w:val="6"/>
        </w:numPr>
        <w:ind w:right="962"/>
        <w:jc w:val="both"/>
        <w:rPr>
          <w:rFonts w:ascii="Century Gothic" w:hAnsi="Century Gothic"/>
          <w:sz w:val="20"/>
        </w:rPr>
      </w:pPr>
      <w:r w:rsidRPr="001541DD">
        <w:rPr>
          <w:rFonts w:ascii="Century Gothic" w:hAnsi="Century Gothic"/>
          <w:sz w:val="20"/>
        </w:rPr>
        <w:t>Garantir</w:t>
      </w:r>
      <w:r w:rsidR="003827A3" w:rsidRPr="001541DD">
        <w:rPr>
          <w:rFonts w:ascii="Century Gothic" w:hAnsi="Century Gothic"/>
          <w:sz w:val="20"/>
        </w:rPr>
        <w:t xml:space="preserve"> l</w:t>
      </w:r>
      <w:r w:rsidR="004652C3" w:rsidRPr="001541DD">
        <w:rPr>
          <w:rFonts w:ascii="Century Gothic" w:hAnsi="Century Gothic"/>
          <w:sz w:val="20"/>
        </w:rPr>
        <w:t>a protection de vos données à caractère personnel</w:t>
      </w:r>
      <w:r w:rsidR="00841A75" w:rsidRPr="001541DD">
        <w:rPr>
          <w:rFonts w:ascii="Century Gothic" w:hAnsi="Century Gothic"/>
          <w:sz w:val="20"/>
        </w:rPr>
        <w:t xml:space="preserve"> : </w:t>
      </w:r>
    </w:p>
    <w:p w:rsidR="00841A75" w:rsidRPr="001541DD" w:rsidRDefault="00841A75" w:rsidP="00841A75">
      <w:pPr>
        <w:pStyle w:val="Default"/>
        <w:ind w:left="1418" w:right="962"/>
        <w:jc w:val="both"/>
        <w:rPr>
          <w:rFonts w:ascii="Century Gothic" w:hAnsi="Century Gothic"/>
          <w:sz w:val="20"/>
        </w:rPr>
      </w:pPr>
    </w:p>
    <w:p w:rsidR="000D340B" w:rsidRDefault="0094278C" w:rsidP="00602AAB">
      <w:pPr>
        <w:pStyle w:val="Default"/>
        <w:ind w:left="1418" w:right="962"/>
        <w:jc w:val="both"/>
      </w:pPr>
      <w:r w:rsidRPr="001541DD">
        <w:rPr>
          <w:rFonts w:ascii="Century Gothic" w:hAnsi="Century Gothic"/>
          <w:sz w:val="20"/>
        </w:rPr>
        <w:t>Le SPW Intérieur se réserve le droit de retirer ses accès à tout utilisateur (qu’il soit GLS ou pas) démontrant manifestement une utilisation mal intentionnée de ses applications.</w:t>
      </w:r>
      <w:bookmarkStart w:id="0" w:name="_GoBack"/>
      <w:bookmarkEnd w:id="0"/>
    </w:p>
    <w:p w:rsidR="000D340B" w:rsidRPr="000D340B" w:rsidRDefault="000D340B" w:rsidP="00841A75">
      <w:pPr>
        <w:tabs>
          <w:tab w:val="left" w:pos="2148"/>
        </w:tabs>
        <w:ind w:left="1418" w:right="962"/>
      </w:pPr>
    </w:p>
    <w:sectPr w:rsidR="000D340B" w:rsidRPr="000D340B" w:rsidSect="00FC4E1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0C3" w:rsidRDefault="000400C3">
      <w:r>
        <w:separator/>
      </w:r>
    </w:p>
  </w:endnote>
  <w:endnote w:type="continuationSeparator" w:id="0">
    <w:p w:rsidR="000400C3" w:rsidRDefault="000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79" w:rsidRDefault="007842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79" w:rsidRDefault="00602AAB">
    <w:pPr>
      <w:pStyle w:val="Pieddepage"/>
    </w:pPr>
    <w:r>
      <w:rPr>
        <w:noProof/>
      </w:rPr>
      <w:pict>
        <v:rect id="Rectangle 4" o:spid="_x0000_s4099" style="position:absolute;margin-left:-4.5pt;margin-top:26.35pt;width:52.55pt;height:11.35pt;z-index:-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" fillcolor="#a92225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8" type="#_x0000_t202" style="position:absolute;margin-left:8362.5pt;margin-top:-19.45pt;width:481.9pt;height:70.85pt;z-index:-251658752;visibility:visible;mso-position-horizontal:right;mso-position-horizont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" filled="f" stroked="f">
          <v:path arrowok="t"/>
          <v:textbox inset="0,0,0,0">
            <w:txbxContent>
              <w:p w:rsidR="00423579" w:rsidRPr="00401F93" w:rsidRDefault="00784289">
                <w:pPr>
                  <w:pStyle w:val="Normale"/>
                  <w:rPr>
                    <w:rFonts w:ascii="Arial" w:hAnsi="Arial" w:cs="Arial"/>
                    <w:b/>
                    <w:bCs/>
                    <w:color w:val="A92225"/>
                    <w:spacing w:val="-1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pacing w:val="-10"/>
                    <w:sz w:val="20"/>
                    <w:szCs w:val="20"/>
                  </w:rPr>
                  <w:t xml:space="preserve">Service public de Wallonie </w:t>
                </w:r>
                <w:r w:rsidR="00E872DF">
                  <w:rPr>
                    <w:rFonts w:ascii="Arial" w:hAnsi="Arial" w:cs="Arial"/>
                    <w:b/>
                    <w:bCs/>
                    <w:color w:val="A92225"/>
                    <w:spacing w:val="-10"/>
                    <w:sz w:val="20"/>
                    <w:szCs w:val="20"/>
                  </w:rPr>
                  <w:t>intérieur &amp;</w:t>
                </w:r>
                <w:r w:rsidR="00401F93" w:rsidRPr="00401F93">
                  <w:rPr>
                    <w:rFonts w:ascii="Arial" w:hAnsi="Arial" w:cs="Arial"/>
                    <w:b/>
                    <w:bCs/>
                    <w:color w:val="A92225"/>
                    <w:spacing w:val="-10"/>
                    <w:sz w:val="20"/>
                    <w:szCs w:val="20"/>
                  </w:rPr>
                  <w:t xml:space="preserve"> action sociale</w:t>
                </w:r>
              </w:p>
              <w:p w:rsidR="00423579" w:rsidRDefault="00423579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0C3" w:rsidRDefault="000400C3">
      <w:r>
        <w:separator/>
      </w:r>
    </w:p>
  </w:footnote>
  <w:footnote w:type="continuationSeparator" w:id="0">
    <w:p w:rsidR="000400C3" w:rsidRDefault="0004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3273"/>
    </w:tblGrid>
    <w:tr w:rsidR="00423579">
      <w:trPr>
        <w:trHeight w:val="1556"/>
      </w:trPr>
      <w:tc>
        <w:tcPr>
          <w:tcW w:w="7655" w:type="dxa"/>
        </w:tcPr>
        <w:p w:rsidR="00423579" w:rsidRDefault="001541DD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7216" behindDoc="0" locked="0" layoutInCell="1" allowOverlap="1" wp14:anchorId="3F5160D7" wp14:editId="2FFCE50F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1803400" cy="892175"/>
                <wp:effectExtent l="0" t="0" r="0" b="0"/>
                <wp:wrapThrough wrapText="bothSides">
                  <wp:wrapPolygon edited="0">
                    <wp:start x="1521" y="0"/>
                    <wp:lineTo x="0" y="7994"/>
                    <wp:lineTo x="0" y="11069"/>
                    <wp:lineTo x="6997" y="20908"/>
                    <wp:lineTo x="15515" y="20908"/>
                    <wp:lineTo x="16732" y="19678"/>
                    <wp:lineTo x="21296" y="11684"/>
                    <wp:lineTo x="21296" y="0"/>
                    <wp:lineTo x="3651" y="0"/>
                    <wp:lineTo x="1521" y="0"/>
                  </wp:wrapPolygon>
                </wp:wrapThrough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3" w:type="dxa"/>
        </w:tcPr>
        <w:p w:rsidR="00423579" w:rsidRDefault="00423579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:rsidR="00423579" w:rsidRDefault="00423579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423579" w:rsidRDefault="00423579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:rsidR="00423579" w:rsidRDefault="00602AAB">
              <w:pPr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602AAB">
    <w:pPr>
      <w:pStyle w:val="En-tte"/>
    </w:pPr>
    <w:r>
      <w:rPr>
        <w:noProof/>
      </w:rPr>
      <w:pict>
        <v:rect id="Rectangle 3" o:spid="_x0000_s4100" style="position:absolute;margin-left:-35.1pt;margin-top:-311.2pt;width:161.55pt;height:28.35pt;rotation:90;z-index:-251650560;visibility:visible;mso-wrap-distance-left:0;mso-wrap-distance-right:0;mso-position-horizontal-relative:page;mso-position-vertical-relative:bottom-margin-area;mso-width-relative:left-margin-area" wrapcoords="0 0 0 21032 21600 21032 21600 0 0 0" stroked="f">
          <v:textbox style="layout-flow:vertical;mso-layout-flow-alt:bottom-to-top">
            <w:txbxContent>
              <w:p w:rsidR="00423579" w:rsidRDefault="00602AAB">
                <w:pPr>
                  <w:rPr>
                    <w:rFonts w:ascii="Arial" w:hAnsi="Arial" w:cs="Arial"/>
                    <w:b/>
                    <w:color w:val="C3082B"/>
                    <w:position w:val="20"/>
                    <w:sz w:val="18"/>
                    <w:szCs w:val="18"/>
                  </w:rPr>
                </w:pPr>
                <w:hyperlink r:id="rId2" w:history="1">
                  <w:r w:rsidR="00784289">
                    <w:rPr>
                      <w:rStyle w:val="Lienhypertexte"/>
                      <w:rFonts w:ascii="Arial" w:hAnsi="Arial" w:cs="Arial"/>
                      <w:b/>
                      <w:color w:val="C3082B"/>
                      <w:sz w:val="18"/>
                      <w:szCs w:val="18"/>
                      <w:u w:val="none"/>
                    </w:rPr>
                    <w:t>www.wallonie.be</w:t>
                  </w:r>
                </w:hyperlink>
              </w:p>
              <w:p w:rsidR="00423579" w:rsidRDefault="00784289">
                <w:pPr>
                  <w:rPr>
                    <w:rFonts w:ascii="Arial" w:hAnsi="Arial" w:cs="Arial"/>
                    <w:color w:val="C3082B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>N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  <w:vertAlign w:val="superscript"/>
                  </w:rPr>
                  <w:t>o</w:t>
                </w:r>
                <w:r>
                  <w:rPr>
                    <w:rFonts w:ascii="Arial" w:hAnsi="Arial" w:cs="Arial"/>
                    <w:b/>
                    <w:color w:val="C3082B"/>
                    <w:sz w:val="18"/>
                    <w:szCs w:val="18"/>
                  </w:rPr>
                  <w:t xml:space="preserve"> vert : 1718 </w:t>
                </w:r>
                <w:r>
                  <w:rPr>
                    <w:rFonts w:ascii="Arial" w:hAnsi="Arial" w:cs="Arial"/>
                    <w:color w:val="C3082B"/>
                    <w:sz w:val="16"/>
                    <w:szCs w:val="16"/>
                  </w:rPr>
                  <w:t>(informations générales)</w:t>
                </w:r>
              </w:p>
              <w:p w:rsidR="00423579" w:rsidRDefault="00423579"/>
              <w:p w:rsidR="00423579" w:rsidRDefault="00423579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  <w10:anchorlock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423579">
      <w:trPr>
        <w:trHeight w:val="1556"/>
      </w:trPr>
      <w:tc>
        <w:tcPr>
          <w:tcW w:w="8278" w:type="dxa"/>
        </w:tcPr>
        <w:p w:rsidR="00423579" w:rsidRDefault="00602AAB">
          <w:pPr>
            <w:jc w:val="right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097" type="#_x0000_t202" style="position:absolute;left:0;text-align:left;margin-left:202.8pt;margin-top:-3.85pt;width:35.65pt;height:16.65pt;z-index:-251654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" stroked="f">
                <v:textbox>
                  <w:txbxContent>
                    <w:p w:rsidR="00423579" w:rsidRDefault="0078428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w:r>
          <w:r w:rsidR="00784289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:rsidR="00423579" w:rsidRDefault="0078428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423579" w:rsidRDefault="00602AAB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EndPr/>
            <w:sdtContent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5E6EA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5E6EA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78428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5E6EA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5E6EAA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784289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5E6EAA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204ED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5E6EAA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:rsidR="00423579" w:rsidRDefault="00423579">
          <w:pPr>
            <w:jc w:val="right"/>
            <w:rPr>
              <w:rFonts w:ascii="Arial" w:hAnsi="Arial" w:cs="Arial"/>
            </w:rPr>
          </w:pPr>
        </w:p>
      </w:tc>
    </w:tr>
  </w:tbl>
  <w:p w:rsidR="00423579" w:rsidRDefault="004235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57B4"/>
    <w:multiLevelType w:val="hybridMultilevel"/>
    <w:tmpl w:val="B0D2F698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9519D"/>
    <w:multiLevelType w:val="hybridMultilevel"/>
    <w:tmpl w:val="0382E344"/>
    <w:lvl w:ilvl="0" w:tplc="8C38AE2A">
      <w:numFmt w:val="bullet"/>
      <w:lvlText w:val="-"/>
      <w:lvlJc w:val="left"/>
      <w:pPr>
        <w:ind w:left="1778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12A582F"/>
    <w:multiLevelType w:val="hybridMultilevel"/>
    <w:tmpl w:val="BC5EEB7A"/>
    <w:lvl w:ilvl="0" w:tplc="162612FC"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7B02059"/>
    <w:multiLevelType w:val="hybridMultilevel"/>
    <w:tmpl w:val="5E9875B0"/>
    <w:lvl w:ilvl="0" w:tplc="162612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716001"/>
    <w:multiLevelType w:val="hybridMultilevel"/>
    <w:tmpl w:val="C226C7C2"/>
    <w:lvl w:ilvl="0" w:tplc="080C000F">
      <w:start w:val="1"/>
      <w:numFmt w:val="decimal"/>
      <w:lvlText w:val="%1.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AF32DD"/>
    <w:multiLevelType w:val="hybridMultilevel"/>
    <w:tmpl w:val="0DD628F2"/>
    <w:lvl w:ilvl="0" w:tplc="162612FC"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59F1785"/>
    <w:multiLevelType w:val="hybridMultilevel"/>
    <w:tmpl w:val="1DEAE95E"/>
    <w:lvl w:ilvl="0" w:tplc="162612FC"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579"/>
    <w:rsid w:val="00017E93"/>
    <w:rsid w:val="000400C3"/>
    <w:rsid w:val="0005376D"/>
    <w:rsid w:val="000C7DA1"/>
    <w:rsid w:val="000D340B"/>
    <w:rsid w:val="000E2961"/>
    <w:rsid w:val="0013153C"/>
    <w:rsid w:val="001541DD"/>
    <w:rsid w:val="00162572"/>
    <w:rsid w:val="00175205"/>
    <w:rsid w:val="00175FB6"/>
    <w:rsid w:val="001C6A28"/>
    <w:rsid w:val="001D008A"/>
    <w:rsid w:val="00215DA3"/>
    <w:rsid w:val="0023321E"/>
    <w:rsid w:val="002B694C"/>
    <w:rsid w:val="003204ED"/>
    <w:rsid w:val="003221C5"/>
    <w:rsid w:val="003827A3"/>
    <w:rsid w:val="003A2F39"/>
    <w:rsid w:val="00401F93"/>
    <w:rsid w:val="00410EB8"/>
    <w:rsid w:val="00423579"/>
    <w:rsid w:val="00446439"/>
    <w:rsid w:val="004652C3"/>
    <w:rsid w:val="00492AEA"/>
    <w:rsid w:val="00497E78"/>
    <w:rsid w:val="00502EB9"/>
    <w:rsid w:val="00512E24"/>
    <w:rsid w:val="0053175C"/>
    <w:rsid w:val="005819C3"/>
    <w:rsid w:val="005B6366"/>
    <w:rsid w:val="005E6EAA"/>
    <w:rsid w:val="00602AAB"/>
    <w:rsid w:val="0065649B"/>
    <w:rsid w:val="00665028"/>
    <w:rsid w:val="00693BF0"/>
    <w:rsid w:val="006B2129"/>
    <w:rsid w:val="006C4A71"/>
    <w:rsid w:val="007204DC"/>
    <w:rsid w:val="007507FF"/>
    <w:rsid w:val="00784289"/>
    <w:rsid w:val="007A53EB"/>
    <w:rsid w:val="007D32D2"/>
    <w:rsid w:val="00841A75"/>
    <w:rsid w:val="0088110C"/>
    <w:rsid w:val="008D1307"/>
    <w:rsid w:val="00932392"/>
    <w:rsid w:val="0094278C"/>
    <w:rsid w:val="00962B6D"/>
    <w:rsid w:val="00A65657"/>
    <w:rsid w:val="00AD4CD9"/>
    <w:rsid w:val="00AE39FA"/>
    <w:rsid w:val="00B15D80"/>
    <w:rsid w:val="00BA3F82"/>
    <w:rsid w:val="00C25731"/>
    <w:rsid w:val="00C4394E"/>
    <w:rsid w:val="00C545DF"/>
    <w:rsid w:val="00CB02A0"/>
    <w:rsid w:val="00D62B39"/>
    <w:rsid w:val="00D825C3"/>
    <w:rsid w:val="00D86E3E"/>
    <w:rsid w:val="00E405D8"/>
    <w:rsid w:val="00E6620D"/>
    <w:rsid w:val="00E872DF"/>
    <w:rsid w:val="00EC5DDA"/>
    <w:rsid w:val="00EE2785"/>
    <w:rsid w:val="00F50C4C"/>
    <w:rsid w:val="00F7553B"/>
    <w:rsid w:val="00F75D3B"/>
    <w:rsid w:val="00F802C0"/>
    <w:rsid w:val="00F8187C"/>
    <w:rsid w:val="00FA008D"/>
    <w:rsid w:val="00FA3974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4"/>
    <o:shapelayout v:ext="edit">
      <o:idmap v:ext="edit" data="1"/>
    </o:shapelayout>
  </w:shapeDefaults>
  <w:decimalSymbol w:val="."/>
  <w:listSeparator w:val=";"/>
  <w14:docId w14:val="4BFCB636"/>
  <w15:docId w15:val="{D5EB4422-A5C1-471E-B3FD-1BB37A3B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C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Paragraphedeliste">
    <w:name w:val="List Paragraph"/>
    <w:basedOn w:val="Normal"/>
    <w:uiPriority w:val="34"/>
    <w:qFormat/>
    <w:rsid w:val="00841A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BE" w:eastAsia="en-US"/>
    </w:rPr>
  </w:style>
  <w:style w:type="paragraph" w:customStyle="1" w:styleId="Paragraphe">
    <w:name w:val="Paragraphe"/>
    <w:basedOn w:val="Normal"/>
    <w:rsid w:val="00841A75"/>
    <w:pPr>
      <w:spacing w:before="120" w:after="120"/>
      <w:jc w:val="both"/>
    </w:pPr>
    <w:rPr>
      <w:rFonts w:ascii="Lucida Sans Unicode" w:eastAsia="Times New Roman" w:hAnsi="Lucida Sans Unicode" w:cs="Times New Roman"/>
      <w:sz w:val="20"/>
      <w:szCs w:val="20"/>
      <w:lang w:eastAsia="fr-BE"/>
    </w:rPr>
  </w:style>
  <w:style w:type="paragraph" w:customStyle="1" w:styleId="Default">
    <w:name w:val="Default"/>
    <w:rsid w:val="00841A75"/>
    <w:rPr>
      <w:rFonts w:ascii="Arial" w:eastAsia="Times New Roman" w:hAnsi="Arial" w:cs="Times New Roman"/>
      <w:snapToGrid w:val="0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9EFC-F1C9-4191-949A-2C165B86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OVYN Séverine</cp:lastModifiedBy>
  <cp:revision>9</cp:revision>
  <cp:lastPrinted>2017-06-23T12:53:00Z</cp:lastPrinted>
  <dcterms:created xsi:type="dcterms:W3CDTF">2018-08-30T12:19:00Z</dcterms:created>
  <dcterms:modified xsi:type="dcterms:W3CDTF">2019-04-05T12:55:00Z</dcterms:modified>
</cp:coreProperties>
</file>